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0" w:type="dxa"/>
        <w:jc w:val="center"/>
        <w:tblInd w:w="-195" w:type="dxa"/>
        <w:tblLayout w:type="fixed"/>
        <w:tblCellMar>
          <w:top w:w="14" w:type="dxa"/>
          <w:left w:w="86" w:type="dxa"/>
          <w:bottom w:w="14" w:type="dxa"/>
          <w:right w:w="86" w:type="dxa"/>
        </w:tblCellMar>
        <w:tblLook w:val="0000" w:firstRow="0" w:lastRow="0" w:firstColumn="0" w:lastColumn="0" w:noHBand="0" w:noVBand="0"/>
      </w:tblPr>
      <w:tblGrid>
        <w:gridCol w:w="1467"/>
        <w:gridCol w:w="555"/>
        <w:gridCol w:w="394"/>
        <w:gridCol w:w="121"/>
        <w:gridCol w:w="1891"/>
        <w:gridCol w:w="1250"/>
        <w:gridCol w:w="606"/>
        <w:gridCol w:w="18"/>
        <w:gridCol w:w="1890"/>
        <w:gridCol w:w="2618"/>
      </w:tblGrid>
      <w:tr w:rsidR="00E43BAB" w:rsidRPr="00692553" w:rsidTr="00966655">
        <w:trPr>
          <w:trHeight w:val="576"/>
          <w:jc w:val="center"/>
        </w:trPr>
        <w:tc>
          <w:tcPr>
            <w:tcW w:w="10810" w:type="dxa"/>
            <w:gridSpan w:val="10"/>
            <w:shd w:val="clear" w:color="auto" w:fill="auto"/>
            <w:tcMar>
              <w:left w:w="0" w:type="dxa"/>
            </w:tcMar>
            <w:vAlign w:val="center"/>
          </w:tcPr>
          <w:p w:rsidR="00E43BAB" w:rsidRPr="00E43BAB" w:rsidRDefault="00127EF6" w:rsidP="00127EF6">
            <w:pPr>
              <w:pStyle w:val="Heading1"/>
            </w:pPr>
            <w:r>
              <w:t>AMA Board Meeting Minutes</w:t>
            </w:r>
          </w:p>
        </w:tc>
      </w:tr>
      <w:tr w:rsidR="00E43BAB" w:rsidRPr="00692553" w:rsidTr="00966655">
        <w:trPr>
          <w:trHeight w:val="274"/>
          <w:jc w:val="center"/>
        </w:trPr>
        <w:tc>
          <w:tcPr>
            <w:tcW w:w="2537" w:type="dxa"/>
            <w:gridSpan w:val="4"/>
            <w:shd w:val="clear" w:color="auto" w:fill="auto"/>
            <w:tcMar>
              <w:left w:w="0" w:type="dxa"/>
            </w:tcMar>
            <w:vAlign w:val="center"/>
          </w:tcPr>
          <w:p w:rsidR="00E43BAB" w:rsidRDefault="00E43BAB" w:rsidP="005052C5">
            <w:pPr>
              <w:pStyle w:val="Heading3"/>
            </w:pPr>
            <w:r>
              <w:t>Minutes</w:t>
            </w:r>
          </w:p>
        </w:tc>
        <w:tc>
          <w:tcPr>
            <w:tcW w:w="1891" w:type="dxa"/>
            <w:shd w:val="clear" w:color="auto" w:fill="auto"/>
            <w:tcMar>
              <w:left w:w="0" w:type="dxa"/>
            </w:tcMar>
            <w:vAlign w:val="center"/>
          </w:tcPr>
          <w:p w:rsidR="00E43BAB" w:rsidRPr="00CE6342" w:rsidRDefault="00705EBF" w:rsidP="005052C5">
            <w:pPr>
              <w:pStyle w:val="Heading4"/>
              <w:framePr w:hSpace="0" w:wrap="auto" w:vAnchor="margin" w:hAnchor="text" w:xAlign="left" w:yAlign="inline"/>
              <w:suppressOverlap w:val="0"/>
            </w:pPr>
            <w:r>
              <w:t>11/11</w:t>
            </w:r>
            <w:r w:rsidR="00127EF6">
              <w:t>/12</w:t>
            </w:r>
          </w:p>
        </w:tc>
        <w:tc>
          <w:tcPr>
            <w:tcW w:w="1874" w:type="dxa"/>
            <w:gridSpan w:val="3"/>
            <w:shd w:val="clear" w:color="auto" w:fill="auto"/>
            <w:tcMar>
              <w:left w:w="0" w:type="dxa"/>
            </w:tcMar>
            <w:vAlign w:val="center"/>
          </w:tcPr>
          <w:p w:rsidR="00E43BAB" w:rsidRDefault="00705EBF" w:rsidP="00705EBF">
            <w:pPr>
              <w:pStyle w:val="Heading4"/>
              <w:framePr w:hSpace="0" w:wrap="auto" w:vAnchor="margin" w:hAnchor="text" w:xAlign="left" w:yAlign="inline"/>
              <w:suppressOverlap w:val="0"/>
            </w:pPr>
            <w:r>
              <w:t>7:0</w:t>
            </w:r>
            <w:r w:rsidR="00127EF6">
              <w:t>0-8:</w:t>
            </w:r>
            <w:r>
              <w:t>0</w:t>
            </w:r>
            <w:r w:rsidR="00127EF6">
              <w:t>0PM</w:t>
            </w:r>
          </w:p>
        </w:tc>
        <w:tc>
          <w:tcPr>
            <w:tcW w:w="4508" w:type="dxa"/>
            <w:gridSpan w:val="2"/>
            <w:shd w:val="clear" w:color="auto" w:fill="auto"/>
            <w:tcMar>
              <w:left w:w="0" w:type="dxa"/>
            </w:tcMar>
            <w:vAlign w:val="center"/>
          </w:tcPr>
          <w:p w:rsidR="00E43BAB" w:rsidRPr="00CE6342" w:rsidRDefault="00127EF6" w:rsidP="005052C5">
            <w:pPr>
              <w:pStyle w:val="Heading5"/>
            </w:pPr>
            <w:r>
              <w:t>AMA Front entrance</w:t>
            </w:r>
          </w:p>
        </w:tc>
      </w:tr>
      <w:tr w:rsidR="00E43BAB" w:rsidRPr="00692553" w:rsidTr="00966655">
        <w:trPr>
          <w:trHeight w:val="229"/>
          <w:jc w:val="center"/>
        </w:trPr>
        <w:tc>
          <w:tcPr>
            <w:tcW w:w="10810" w:type="dxa"/>
            <w:gridSpan w:val="10"/>
            <w:shd w:val="clear" w:color="auto" w:fill="auto"/>
            <w:tcMar>
              <w:left w:w="0" w:type="dxa"/>
            </w:tcMar>
            <w:vAlign w:val="center"/>
          </w:tcPr>
          <w:p w:rsidR="00E43BAB" w:rsidRPr="00EA2581" w:rsidRDefault="00E43BAB" w:rsidP="005052C5"/>
        </w:tc>
      </w:tr>
      <w:tr w:rsidR="0085168B" w:rsidRPr="00692553" w:rsidTr="00966655">
        <w:trPr>
          <w:trHeight w:val="360"/>
          <w:jc w:val="center"/>
        </w:trPr>
        <w:tc>
          <w:tcPr>
            <w:tcW w:w="2022"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1D1AF0" w:rsidP="005052C5">
            <w:pPr>
              <w:pStyle w:val="AllCapsHeading"/>
            </w:pPr>
            <w:r>
              <w:t>Attendees</w:t>
            </w:r>
          </w:p>
        </w:tc>
        <w:tc>
          <w:tcPr>
            <w:tcW w:w="878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705EBF" w:rsidP="00705EBF">
            <w:r>
              <w:t xml:space="preserve">Dale Bowman, Brian Bush, </w:t>
            </w:r>
            <w:r w:rsidR="00966655">
              <w:t xml:space="preserve">Judy Eaton, </w:t>
            </w:r>
            <w:r>
              <w:t xml:space="preserve">Erin Fester, </w:t>
            </w:r>
            <w:proofErr w:type="spellStart"/>
            <w:r>
              <w:t>Kraig</w:t>
            </w:r>
            <w:proofErr w:type="spellEnd"/>
            <w:r>
              <w:t xml:space="preserve"> </w:t>
            </w:r>
            <w:proofErr w:type="spellStart"/>
            <w:r>
              <w:t>Schmottlach</w:t>
            </w:r>
            <w:proofErr w:type="spellEnd"/>
            <w:r>
              <w:t xml:space="preserve">, </w:t>
            </w:r>
            <w:r w:rsidR="00294732">
              <w:t xml:space="preserve">Jim </w:t>
            </w:r>
            <w:proofErr w:type="spellStart"/>
            <w:r w:rsidR="00294732">
              <w:t>Sprich</w:t>
            </w:r>
            <w:proofErr w:type="spellEnd"/>
            <w:r w:rsidR="00294732">
              <w:t xml:space="preserve"> </w:t>
            </w:r>
            <w:r w:rsidR="00F71917">
              <w:t xml:space="preserve">and </w:t>
            </w:r>
            <w:r w:rsidR="001D1AF0">
              <w:t>Jeff Yost</w:t>
            </w:r>
          </w:p>
        </w:tc>
      </w:tr>
      <w:tr w:rsidR="0085168B" w:rsidRPr="00692553" w:rsidTr="00966655">
        <w:trPr>
          <w:trHeight w:val="360"/>
          <w:jc w:val="center"/>
        </w:trPr>
        <w:tc>
          <w:tcPr>
            <w:tcW w:w="2022"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1D1AF0" w:rsidP="005052C5">
            <w:pPr>
              <w:pStyle w:val="AllCapsHeading"/>
            </w:pPr>
            <w:r>
              <w:t>absent</w:t>
            </w:r>
          </w:p>
        </w:tc>
        <w:tc>
          <w:tcPr>
            <w:tcW w:w="878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692553" w:rsidRPr="00692553" w:rsidTr="00966655">
        <w:trPr>
          <w:trHeight w:val="360"/>
          <w:jc w:val="center"/>
        </w:trPr>
        <w:tc>
          <w:tcPr>
            <w:tcW w:w="10810" w:type="dxa"/>
            <w:gridSpan w:val="10"/>
            <w:shd w:val="clear" w:color="auto" w:fill="auto"/>
            <w:tcMar>
              <w:left w:w="0" w:type="dxa"/>
            </w:tcMar>
            <w:vAlign w:val="center"/>
          </w:tcPr>
          <w:p w:rsidR="00692553" w:rsidRPr="00692553" w:rsidRDefault="00692553" w:rsidP="005052C5">
            <w:pPr>
              <w:pStyle w:val="Heading2"/>
            </w:pPr>
            <w:bookmarkStart w:id="0" w:name="MinuteTopic"/>
            <w:bookmarkEnd w:id="0"/>
            <w:r w:rsidRPr="00692553">
              <w:t>Agenda topics</w:t>
            </w:r>
          </w:p>
        </w:tc>
      </w:tr>
      <w:tr w:rsidR="0085168B" w:rsidRPr="00692553" w:rsidTr="00966655">
        <w:trPr>
          <w:trHeight w:val="360"/>
          <w:jc w:val="center"/>
        </w:trPr>
        <w:tc>
          <w:tcPr>
            <w:tcW w:w="2537" w:type="dxa"/>
            <w:gridSpan w:val="4"/>
            <w:tcBorders>
              <w:bottom w:val="single" w:sz="12" w:space="0" w:color="999999"/>
            </w:tcBorders>
            <w:shd w:val="clear" w:color="auto" w:fill="auto"/>
            <w:tcMar>
              <w:left w:w="0" w:type="dxa"/>
            </w:tcMar>
            <w:vAlign w:val="center"/>
          </w:tcPr>
          <w:p w:rsidR="0085168B" w:rsidRPr="00692553" w:rsidRDefault="0085168B" w:rsidP="005052C5">
            <w:pPr>
              <w:pStyle w:val="Heading4"/>
              <w:framePr w:hSpace="0" w:wrap="auto" w:vAnchor="margin" w:hAnchor="text" w:xAlign="left" w:yAlign="inline"/>
              <w:suppressOverlap w:val="0"/>
            </w:pPr>
            <w:bookmarkStart w:id="1" w:name="MinuteItems"/>
            <w:bookmarkStart w:id="2" w:name="MinuteTopicSection"/>
            <w:bookmarkEnd w:id="1"/>
          </w:p>
        </w:tc>
        <w:tc>
          <w:tcPr>
            <w:tcW w:w="3765" w:type="dxa"/>
            <w:gridSpan w:val="4"/>
            <w:tcBorders>
              <w:bottom w:val="single" w:sz="12" w:space="0" w:color="999999"/>
            </w:tcBorders>
            <w:shd w:val="clear" w:color="auto" w:fill="auto"/>
            <w:tcMar>
              <w:left w:w="0" w:type="dxa"/>
            </w:tcMar>
            <w:vAlign w:val="center"/>
          </w:tcPr>
          <w:p w:rsidR="0085168B" w:rsidRPr="00692553" w:rsidRDefault="00705EBF" w:rsidP="005052C5">
            <w:pPr>
              <w:pStyle w:val="Heading4"/>
              <w:framePr w:hSpace="0" w:wrap="auto" w:vAnchor="margin" w:hAnchor="text" w:xAlign="left" w:yAlign="inline"/>
              <w:suppressOverlap w:val="0"/>
            </w:pPr>
            <w:r>
              <w:t>Front entrance agreement</w:t>
            </w:r>
          </w:p>
        </w:tc>
        <w:tc>
          <w:tcPr>
            <w:tcW w:w="4508" w:type="dxa"/>
            <w:gridSpan w:val="2"/>
            <w:tcBorders>
              <w:bottom w:val="single" w:sz="12" w:space="0" w:color="999999"/>
            </w:tcBorders>
            <w:shd w:val="clear" w:color="auto" w:fill="auto"/>
            <w:tcMar>
              <w:left w:w="0" w:type="dxa"/>
            </w:tcMar>
            <w:vAlign w:val="center"/>
          </w:tcPr>
          <w:p w:rsidR="0085168B" w:rsidRPr="00CE6342" w:rsidRDefault="0085168B" w:rsidP="005052C5">
            <w:pPr>
              <w:pStyle w:val="Heading5"/>
            </w:pPr>
          </w:p>
        </w:tc>
      </w:tr>
      <w:tr w:rsidR="00E71DBA" w:rsidRPr="00692553" w:rsidTr="00966655">
        <w:trPr>
          <w:trHeight w:val="360"/>
          <w:jc w:val="center"/>
        </w:trPr>
        <w:tc>
          <w:tcPr>
            <w:tcW w:w="146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3" w:name="MinuteDiscussion"/>
            <w:bookmarkEnd w:id="3"/>
            <w:r>
              <w:t>Discussion</w:t>
            </w:r>
          </w:p>
        </w:tc>
        <w:tc>
          <w:tcPr>
            <w:tcW w:w="9343"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862244" w:rsidRDefault="00383DD5" w:rsidP="00705EBF">
            <w:pPr>
              <w:pStyle w:val="ListParagraph"/>
              <w:numPr>
                <w:ilvl w:val="0"/>
                <w:numId w:val="11"/>
              </w:numPr>
              <w:rPr>
                <w:sz w:val="20"/>
                <w:szCs w:val="20"/>
              </w:rPr>
            </w:pPr>
            <w:r>
              <w:rPr>
                <w:sz w:val="20"/>
                <w:szCs w:val="20"/>
              </w:rPr>
              <w:t xml:space="preserve">AMCA </w:t>
            </w:r>
            <w:r w:rsidR="00705EBF" w:rsidRPr="00705EBF">
              <w:rPr>
                <w:sz w:val="20"/>
                <w:szCs w:val="20"/>
              </w:rPr>
              <w:t>Signature retracted from agreement and TCCC did not file document</w:t>
            </w:r>
            <w:r>
              <w:rPr>
                <w:sz w:val="20"/>
                <w:szCs w:val="20"/>
              </w:rPr>
              <w:t xml:space="preserve"> after acknowledging that our signature was retracted.</w:t>
            </w:r>
          </w:p>
          <w:p w:rsidR="00705EBF" w:rsidRDefault="00705EBF" w:rsidP="00705EBF">
            <w:pPr>
              <w:pStyle w:val="ListParagraph"/>
              <w:numPr>
                <w:ilvl w:val="0"/>
                <w:numId w:val="11"/>
              </w:numPr>
              <w:rPr>
                <w:sz w:val="20"/>
                <w:szCs w:val="20"/>
              </w:rPr>
            </w:pPr>
            <w:r>
              <w:rPr>
                <w:sz w:val="20"/>
                <w:szCs w:val="20"/>
              </w:rPr>
              <w:t>Notary was not present at the time of the signatures so agreement would not have held weight in a legal discussion</w:t>
            </w:r>
          </w:p>
          <w:p w:rsidR="00705EBF" w:rsidRDefault="00705EBF" w:rsidP="00705EBF">
            <w:pPr>
              <w:pStyle w:val="ListParagraph"/>
              <w:numPr>
                <w:ilvl w:val="0"/>
                <w:numId w:val="11"/>
              </w:numPr>
              <w:rPr>
                <w:sz w:val="20"/>
                <w:szCs w:val="20"/>
              </w:rPr>
            </w:pPr>
            <w:r>
              <w:rPr>
                <w:sz w:val="20"/>
                <w:szCs w:val="20"/>
              </w:rPr>
              <w:t xml:space="preserve">AMCA never stated that we would not continue to support the agreement for maintenance of the front </w:t>
            </w:r>
            <w:proofErr w:type="gramStart"/>
            <w:r>
              <w:rPr>
                <w:sz w:val="20"/>
                <w:szCs w:val="20"/>
              </w:rPr>
              <w:t>entrance,</w:t>
            </w:r>
            <w:proofErr w:type="gramEnd"/>
            <w:r>
              <w:rPr>
                <w:sz w:val="20"/>
                <w:szCs w:val="20"/>
              </w:rPr>
              <w:t xml:space="preserve"> however verbiage needed to be added defining, maintenance vs. capital investment for improvements.  </w:t>
            </w:r>
          </w:p>
          <w:p w:rsidR="00962CA2" w:rsidRDefault="00962CA2" w:rsidP="00705EBF">
            <w:pPr>
              <w:pStyle w:val="ListParagraph"/>
              <w:numPr>
                <w:ilvl w:val="0"/>
                <w:numId w:val="11"/>
              </w:numPr>
              <w:rPr>
                <w:sz w:val="20"/>
                <w:szCs w:val="20"/>
              </w:rPr>
            </w:pPr>
            <w:r>
              <w:rPr>
                <w:sz w:val="20"/>
                <w:szCs w:val="20"/>
              </w:rPr>
              <w:t>Concern was discussed that if the wall continues to deteriorate without any action by TCCC that we cannot be locked into any “ongoing” maintenance agreement without re-discussing the terms of the agreement.</w:t>
            </w:r>
          </w:p>
          <w:p w:rsidR="00705EBF" w:rsidRDefault="00705EBF" w:rsidP="00705EBF">
            <w:pPr>
              <w:pStyle w:val="ListParagraph"/>
              <w:numPr>
                <w:ilvl w:val="0"/>
                <w:numId w:val="11"/>
              </w:numPr>
              <w:rPr>
                <w:sz w:val="20"/>
                <w:szCs w:val="20"/>
              </w:rPr>
            </w:pPr>
            <w:r>
              <w:rPr>
                <w:sz w:val="20"/>
                <w:szCs w:val="20"/>
              </w:rPr>
              <w:t>Next Steps:</w:t>
            </w:r>
          </w:p>
          <w:p w:rsidR="00383DD5" w:rsidRDefault="00383DD5" w:rsidP="00383DD5">
            <w:pPr>
              <w:pStyle w:val="ListParagraph"/>
              <w:numPr>
                <w:ilvl w:val="1"/>
                <w:numId w:val="11"/>
              </w:numPr>
              <w:rPr>
                <w:sz w:val="20"/>
                <w:szCs w:val="20"/>
              </w:rPr>
            </w:pPr>
            <w:r>
              <w:rPr>
                <w:sz w:val="20"/>
                <w:szCs w:val="20"/>
              </w:rPr>
              <w:t xml:space="preserve">Send email to neighborhood association presidents detailing </w:t>
            </w:r>
            <w:r w:rsidR="001E4962">
              <w:rPr>
                <w:sz w:val="20"/>
                <w:szCs w:val="20"/>
              </w:rPr>
              <w:t>why we</w:t>
            </w:r>
            <w:r>
              <w:rPr>
                <w:sz w:val="20"/>
                <w:szCs w:val="20"/>
              </w:rPr>
              <w:t xml:space="preserve"> request</w:t>
            </w:r>
            <w:r w:rsidR="001E4962">
              <w:rPr>
                <w:sz w:val="20"/>
                <w:szCs w:val="20"/>
              </w:rPr>
              <w:t>ed</w:t>
            </w:r>
            <w:r>
              <w:rPr>
                <w:sz w:val="20"/>
                <w:szCs w:val="20"/>
              </w:rPr>
              <w:t xml:space="preserve"> for</w:t>
            </w:r>
            <w:r w:rsidR="001E4962">
              <w:rPr>
                <w:sz w:val="20"/>
                <w:szCs w:val="20"/>
              </w:rPr>
              <w:t xml:space="preserve"> our signature to be retracted from the agreement and the additions</w:t>
            </w:r>
            <w:r>
              <w:rPr>
                <w:sz w:val="20"/>
                <w:szCs w:val="20"/>
              </w:rPr>
              <w:t xml:space="preserve"> that would be required for AMCA to enter into the agreement.  Those details are –</w:t>
            </w:r>
          </w:p>
          <w:p w:rsidR="00383DD5" w:rsidRPr="00705EBF" w:rsidRDefault="00383DD5" w:rsidP="00383DD5">
            <w:pPr>
              <w:pStyle w:val="ListParagraph"/>
              <w:numPr>
                <w:ilvl w:val="2"/>
                <w:numId w:val="11"/>
              </w:numPr>
              <w:rPr>
                <w:sz w:val="20"/>
                <w:szCs w:val="20"/>
              </w:rPr>
            </w:pPr>
            <w:r>
              <w:rPr>
                <w:sz w:val="20"/>
                <w:szCs w:val="20"/>
              </w:rPr>
              <w:t>Remove verbiage requiring other associations to pay a portion of “all costs of maintaining the entryway property and easement property” as this is extremely broad and not acceptable</w:t>
            </w:r>
          </w:p>
          <w:p w:rsidR="00767651" w:rsidRPr="00767651" w:rsidRDefault="00705EBF" w:rsidP="00767651">
            <w:pPr>
              <w:pStyle w:val="ListParagraph"/>
              <w:numPr>
                <w:ilvl w:val="2"/>
                <w:numId w:val="11"/>
              </w:numPr>
              <w:rPr>
                <w:sz w:val="20"/>
                <w:szCs w:val="20"/>
              </w:rPr>
            </w:pPr>
            <w:r>
              <w:rPr>
                <w:sz w:val="20"/>
                <w:szCs w:val="20"/>
              </w:rPr>
              <w:t xml:space="preserve">Define </w:t>
            </w:r>
            <w:r w:rsidR="00383DD5">
              <w:rPr>
                <w:sz w:val="20"/>
                <w:szCs w:val="20"/>
              </w:rPr>
              <w:t xml:space="preserve">what costs are included in </w:t>
            </w:r>
            <w:r w:rsidR="00583685">
              <w:rPr>
                <w:sz w:val="20"/>
                <w:szCs w:val="20"/>
              </w:rPr>
              <w:t>regular, ongoing “Maintenance” compared to</w:t>
            </w:r>
            <w:r>
              <w:rPr>
                <w:sz w:val="20"/>
                <w:szCs w:val="20"/>
              </w:rPr>
              <w:t xml:space="preserve"> “Capital Investment</w:t>
            </w:r>
            <w:r w:rsidR="00583685">
              <w:rPr>
                <w:sz w:val="20"/>
                <w:szCs w:val="20"/>
              </w:rPr>
              <w:t>s</w:t>
            </w:r>
            <w:r>
              <w:rPr>
                <w:sz w:val="20"/>
                <w:szCs w:val="20"/>
              </w:rPr>
              <w:t xml:space="preserve"> for Improvement” and</w:t>
            </w:r>
            <w:r w:rsidR="00383DD5">
              <w:rPr>
                <w:sz w:val="20"/>
                <w:szCs w:val="20"/>
              </w:rPr>
              <w:t xml:space="preserve"> what the “Common Elements” are.  Need to define </w:t>
            </w:r>
            <w:r>
              <w:rPr>
                <w:sz w:val="20"/>
                <w:szCs w:val="20"/>
              </w:rPr>
              <w:t>who owns</w:t>
            </w:r>
            <w:r w:rsidR="00383DD5">
              <w:rPr>
                <w:sz w:val="20"/>
                <w:szCs w:val="20"/>
              </w:rPr>
              <w:t xml:space="preserve"> which</w:t>
            </w:r>
            <w:r>
              <w:rPr>
                <w:sz w:val="20"/>
                <w:szCs w:val="20"/>
              </w:rPr>
              <w:t xml:space="preserve"> specific </w:t>
            </w:r>
            <w:r w:rsidR="00383DD5">
              <w:rPr>
                <w:sz w:val="20"/>
                <w:szCs w:val="20"/>
              </w:rPr>
              <w:t>common elements</w:t>
            </w:r>
            <w:r>
              <w:rPr>
                <w:sz w:val="20"/>
                <w:szCs w:val="20"/>
              </w:rPr>
              <w:t>.</w:t>
            </w:r>
          </w:p>
          <w:p w:rsidR="00705EBF" w:rsidRDefault="00583685" w:rsidP="00383DD5">
            <w:pPr>
              <w:pStyle w:val="ListParagraph"/>
              <w:numPr>
                <w:ilvl w:val="2"/>
                <w:numId w:val="11"/>
              </w:numPr>
              <w:rPr>
                <w:sz w:val="20"/>
                <w:szCs w:val="20"/>
              </w:rPr>
            </w:pPr>
            <w:r>
              <w:rPr>
                <w:sz w:val="20"/>
                <w:szCs w:val="20"/>
              </w:rPr>
              <w:t xml:space="preserve">Set a Do Not Exceed cap for </w:t>
            </w:r>
            <w:r w:rsidR="003C4BA9">
              <w:rPr>
                <w:sz w:val="20"/>
                <w:szCs w:val="20"/>
              </w:rPr>
              <w:t>expenditures</w:t>
            </w:r>
            <w:r w:rsidR="00962CA2">
              <w:rPr>
                <w:sz w:val="20"/>
                <w:szCs w:val="20"/>
              </w:rPr>
              <w:t xml:space="preserve"> (either singular expense or any expense above a cumulative </w:t>
            </w:r>
            <w:r w:rsidR="00383DD5">
              <w:rPr>
                <w:sz w:val="20"/>
                <w:szCs w:val="20"/>
              </w:rPr>
              <w:t xml:space="preserve">total </w:t>
            </w:r>
            <w:r w:rsidR="00962CA2">
              <w:rPr>
                <w:sz w:val="20"/>
                <w:szCs w:val="20"/>
              </w:rPr>
              <w:t xml:space="preserve">annual amount) that would require the approval of the 5 boards in the Ada Moorings neighborhood prior to incurring </w:t>
            </w:r>
            <w:r w:rsidR="00383DD5">
              <w:rPr>
                <w:sz w:val="20"/>
                <w:szCs w:val="20"/>
              </w:rPr>
              <w:t>any</w:t>
            </w:r>
            <w:r w:rsidR="00962CA2">
              <w:rPr>
                <w:sz w:val="20"/>
                <w:szCs w:val="20"/>
              </w:rPr>
              <w:t xml:space="preserve"> expense.</w:t>
            </w:r>
          </w:p>
          <w:p w:rsidR="00383DD5" w:rsidRDefault="00383DD5" w:rsidP="00383DD5">
            <w:pPr>
              <w:pStyle w:val="ListParagraph"/>
              <w:numPr>
                <w:ilvl w:val="2"/>
                <w:numId w:val="11"/>
              </w:numPr>
              <w:rPr>
                <w:sz w:val="20"/>
                <w:szCs w:val="20"/>
              </w:rPr>
            </w:pPr>
            <w:r>
              <w:rPr>
                <w:sz w:val="20"/>
                <w:szCs w:val="20"/>
              </w:rPr>
              <w:t>Set a renewal period for the agreement that requires each association to review all th</w:t>
            </w:r>
            <w:r w:rsidR="001E4962">
              <w:rPr>
                <w:sz w:val="20"/>
                <w:szCs w:val="20"/>
              </w:rPr>
              <w:t>e specified details and re-approve or adjust agreement.</w:t>
            </w:r>
          </w:p>
          <w:p w:rsidR="001E4962" w:rsidRDefault="001E4962" w:rsidP="001E4962">
            <w:pPr>
              <w:pStyle w:val="ListParagraph"/>
              <w:numPr>
                <w:ilvl w:val="1"/>
                <w:numId w:val="11"/>
              </w:numPr>
              <w:rPr>
                <w:sz w:val="20"/>
                <w:szCs w:val="20"/>
              </w:rPr>
            </w:pPr>
            <w:r>
              <w:rPr>
                <w:sz w:val="20"/>
                <w:szCs w:val="20"/>
              </w:rPr>
              <w:t xml:space="preserve">Based on </w:t>
            </w:r>
            <w:r w:rsidR="009032F4">
              <w:rPr>
                <w:sz w:val="20"/>
                <w:szCs w:val="20"/>
              </w:rPr>
              <w:t xml:space="preserve">the </w:t>
            </w:r>
            <w:r>
              <w:rPr>
                <w:sz w:val="20"/>
                <w:szCs w:val="20"/>
              </w:rPr>
              <w:t>response</w:t>
            </w:r>
            <w:r w:rsidR="009032F4">
              <w:rPr>
                <w:sz w:val="20"/>
                <w:szCs w:val="20"/>
              </w:rPr>
              <w:t xml:space="preserve"> to the email</w:t>
            </w:r>
            <w:r>
              <w:rPr>
                <w:sz w:val="20"/>
                <w:szCs w:val="20"/>
              </w:rPr>
              <w:t>, determine if a separate meeting of the presidents is required.  If not, and if all presidents agree AMCA will send agreement to have verbiage added by a legal entity and have document signed in the presence of a notary.</w:t>
            </w:r>
            <w:r w:rsidR="00B71AD6">
              <w:rPr>
                <w:sz w:val="20"/>
                <w:szCs w:val="20"/>
              </w:rPr>
              <w:t xml:space="preserve">  Request that all associations assist in the cost of having the document legally drafted.</w:t>
            </w:r>
          </w:p>
          <w:p w:rsidR="00DB4881" w:rsidRDefault="00DB4881" w:rsidP="001E4962">
            <w:pPr>
              <w:pStyle w:val="ListParagraph"/>
              <w:numPr>
                <w:ilvl w:val="1"/>
                <w:numId w:val="11"/>
              </w:numPr>
              <w:rPr>
                <w:sz w:val="20"/>
                <w:szCs w:val="20"/>
              </w:rPr>
            </w:pPr>
            <w:r>
              <w:rPr>
                <w:sz w:val="20"/>
                <w:szCs w:val="20"/>
              </w:rPr>
              <w:t>Dale Bowman to follow up previously emailed request for further information as to the status of TCCC’s progress on improving the front entrance.  Included in this follow up is the notification that AMCA homeowners have requested that TCCC presents their plan for the Front Entrance at our annual meeting on 1/29/13.</w:t>
            </w:r>
          </w:p>
          <w:p w:rsidR="00DB4881" w:rsidRDefault="00B71AD6" w:rsidP="001E4962">
            <w:pPr>
              <w:pStyle w:val="ListParagraph"/>
              <w:numPr>
                <w:ilvl w:val="1"/>
                <w:numId w:val="11"/>
              </w:numPr>
              <w:rPr>
                <w:sz w:val="20"/>
                <w:szCs w:val="20"/>
              </w:rPr>
            </w:pPr>
            <w:r>
              <w:rPr>
                <w:sz w:val="20"/>
                <w:szCs w:val="20"/>
              </w:rPr>
              <w:t xml:space="preserve">Determine what </w:t>
            </w:r>
            <w:proofErr w:type="spellStart"/>
            <w:r>
              <w:rPr>
                <w:sz w:val="20"/>
                <w:szCs w:val="20"/>
              </w:rPr>
              <w:t>the</w:t>
            </w:r>
            <w:proofErr w:type="spellEnd"/>
            <w:r>
              <w:rPr>
                <w:sz w:val="20"/>
                <w:szCs w:val="20"/>
              </w:rPr>
              <w:t xml:space="preserve"> </w:t>
            </w:r>
            <w:r w:rsidR="00DB4881">
              <w:rPr>
                <w:sz w:val="20"/>
                <w:szCs w:val="20"/>
              </w:rPr>
              <w:t>Do Not Exceed cap amount is for expenditures.  Brian Bush to review previous annual expenses to propose an amount AMCA should feel comfortable with</w:t>
            </w:r>
            <w:r w:rsidR="00981A1F">
              <w:rPr>
                <w:sz w:val="20"/>
                <w:szCs w:val="20"/>
              </w:rPr>
              <w:t>.</w:t>
            </w:r>
          </w:p>
          <w:p w:rsidR="00241A9A" w:rsidRPr="003C0B97" w:rsidRDefault="00981A1F" w:rsidP="009E5649">
            <w:pPr>
              <w:pStyle w:val="ListParagraph"/>
              <w:numPr>
                <w:ilvl w:val="1"/>
                <w:numId w:val="11"/>
              </w:numPr>
            </w:pPr>
            <w:r w:rsidRPr="003C4BA9">
              <w:rPr>
                <w:sz w:val="20"/>
                <w:szCs w:val="20"/>
              </w:rPr>
              <w:t>Review Master Deed and investigate if there is any requirement about maintaining the wall and keeping it as an integral part of our neighborhood.</w:t>
            </w:r>
          </w:p>
          <w:p w:rsidR="003C0B97" w:rsidRPr="003C0B97" w:rsidRDefault="003C0B97" w:rsidP="003C0B97">
            <w:pPr>
              <w:pStyle w:val="ListParagraph"/>
              <w:numPr>
                <w:ilvl w:val="0"/>
                <w:numId w:val="11"/>
              </w:numPr>
            </w:pPr>
            <w:r>
              <w:rPr>
                <w:sz w:val="20"/>
                <w:szCs w:val="20"/>
              </w:rPr>
              <w:t>Investigate opportunity to develop a “Super Association” to manage the common elements</w:t>
            </w:r>
          </w:p>
          <w:p w:rsidR="00241A9A" w:rsidRPr="00B7636C" w:rsidRDefault="00B7636C" w:rsidP="00B7636C">
            <w:pPr>
              <w:pStyle w:val="ListParagraph"/>
              <w:numPr>
                <w:ilvl w:val="1"/>
                <w:numId w:val="11"/>
              </w:numPr>
              <w:rPr>
                <w:sz w:val="20"/>
                <w:szCs w:val="20"/>
              </w:rPr>
            </w:pPr>
            <w:r w:rsidRPr="00B7636C">
              <w:rPr>
                <w:rFonts w:eastAsia="Times New Roman" w:cs="Calibri"/>
                <w:sz w:val="20"/>
                <w:szCs w:val="20"/>
              </w:rPr>
              <w:t xml:space="preserve">Potential to go door to door to gain support to develop a Super Association comprised of </w:t>
            </w:r>
            <w:r w:rsidRPr="00B7636C">
              <w:rPr>
                <w:rFonts w:eastAsia="Times New Roman" w:cs="Calibri"/>
                <w:sz w:val="20"/>
                <w:szCs w:val="20"/>
              </w:rPr>
              <w:t>members</w:t>
            </w:r>
            <w:r w:rsidRPr="00B7636C">
              <w:rPr>
                <w:rFonts w:eastAsia="Times New Roman" w:cs="Calibri"/>
                <w:sz w:val="20"/>
                <w:szCs w:val="20"/>
              </w:rPr>
              <w:t xml:space="preserve">/presidents of each of the </w:t>
            </w:r>
            <w:bookmarkStart w:id="4" w:name="_GoBack"/>
            <w:bookmarkEnd w:id="4"/>
            <w:r w:rsidRPr="00B7636C">
              <w:rPr>
                <w:rFonts w:eastAsia="Times New Roman" w:cs="Calibri"/>
                <w:sz w:val="20"/>
                <w:szCs w:val="20"/>
              </w:rPr>
              <w:t>individual boards that would oversee all aspects of the common areas.</w:t>
            </w:r>
          </w:p>
        </w:tc>
      </w:tr>
      <w:tr w:rsidR="00C166AB" w:rsidRPr="00692553" w:rsidTr="00966655">
        <w:trPr>
          <w:trHeight w:val="360"/>
          <w:jc w:val="center"/>
        </w:trPr>
        <w:tc>
          <w:tcPr>
            <w:tcW w:w="146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5" w:name="MinuteConclusion"/>
            <w:bookmarkEnd w:id="5"/>
            <w:r>
              <w:lastRenderedPageBreak/>
              <w:t>Conclusions</w:t>
            </w:r>
          </w:p>
        </w:tc>
        <w:tc>
          <w:tcPr>
            <w:tcW w:w="9343"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E71DBA" w:rsidRPr="00CE6342" w:rsidRDefault="00E71DBA" w:rsidP="005052C5"/>
        </w:tc>
      </w:tr>
      <w:tr w:rsidR="00E71DBA" w:rsidRPr="00692553" w:rsidTr="00966655">
        <w:trPr>
          <w:trHeight w:val="360"/>
          <w:jc w:val="center"/>
        </w:trPr>
        <w:tc>
          <w:tcPr>
            <w:tcW w:w="5678"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6" w:name="MinuteActionItems"/>
            <w:bookmarkEnd w:id="6"/>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7" w:name="MinutePersonResponsible"/>
            <w:bookmarkEnd w:id="7"/>
            <w:r>
              <w:t>Person responsible</w:t>
            </w:r>
          </w:p>
        </w:tc>
        <w:tc>
          <w:tcPr>
            <w:tcW w:w="26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8" w:name="MinuteDeadline"/>
            <w:bookmarkEnd w:id="8"/>
            <w:r>
              <w:t>Deadline</w:t>
            </w:r>
          </w:p>
        </w:tc>
      </w:tr>
      <w:tr w:rsidR="0085168B" w:rsidRPr="00692553" w:rsidTr="00966655">
        <w:trPr>
          <w:trHeight w:val="360"/>
          <w:jc w:val="center"/>
        </w:trPr>
        <w:tc>
          <w:tcPr>
            <w:tcW w:w="567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3C4BA9" w:rsidP="005052C5">
            <w:r>
              <w:t>See next steps listed above</w:t>
            </w: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26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AE3851" w:rsidRPr="00692553" w:rsidTr="00966655">
        <w:trPr>
          <w:trHeight w:hRule="exact" w:val="115"/>
          <w:jc w:val="center"/>
        </w:trPr>
        <w:tc>
          <w:tcPr>
            <w:tcW w:w="10810" w:type="dxa"/>
            <w:gridSpan w:val="10"/>
            <w:tcBorders>
              <w:top w:val="single" w:sz="4" w:space="0" w:color="C0C0C0"/>
            </w:tcBorders>
            <w:shd w:val="clear" w:color="auto" w:fill="auto"/>
            <w:vAlign w:val="center"/>
          </w:tcPr>
          <w:p w:rsidR="00AE3851" w:rsidRPr="00692553" w:rsidRDefault="00AE3851" w:rsidP="005052C5"/>
        </w:tc>
      </w:tr>
      <w:tr w:rsidR="0085168B" w:rsidRPr="00692553" w:rsidTr="00966655">
        <w:trPr>
          <w:trHeight w:val="360"/>
          <w:jc w:val="center"/>
        </w:trPr>
        <w:tc>
          <w:tcPr>
            <w:tcW w:w="2537" w:type="dxa"/>
            <w:gridSpan w:val="4"/>
            <w:shd w:val="clear" w:color="auto" w:fill="auto"/>
            <w:tcMar>
              <w:left w:w="0" w:type="dxa"/>
            </w:tcMar>
            <w:vAlign w:val="center"/>
          </w:tcPr>
          <w:p w:rsidR="0085168B" w:rsidRPr="00692553" w:rsidRDefault="0085168B" w:rsidP="005052C5">
            <w:pPr>
              <w:pStyle w:val="Heading4"/>
              <w:framePr w:hSpace="0" w:wrap="auto" w:vAnchor="margin" w:hAnchor="text" w:xAlign="left" w:yAlign="inline"/>
              <w:suppressOverlap w:val="0"/>
            </w:pPr>
            <w:bookmarkStart w:id="9" w:name="MinuteAdditional"/>
            <w:bookmarkEnd w:id="2"/>
            <w:bookmarkEnd w:id="9"/>
          </w:p>
        </w:tc>
        <w:tc>
          <w:tcPr>
            <w:tcW w:w="3765" w:type="dxa"/>
            <w:gridSpan w:val="4"/>
            <w:shd w:val="clear" w:color="auto" w:fill="auto"/>
            <w:tcMar>
              <w:left w:w="0" w:type="dxa"/>
            </w:tcMar>
            <w:vAlign w:val="center"/>
          </w:tcPr>
          <w:p w:rsidR="0085168B" w:rsidRPr="00692553" w:rsidRDefault="003C4BA9" w:rsidP="005052C5">
            <w:pPr>
              <w:pStyle w:val="Heading4"/>
              <w:framePr w:hSpace="0" w:wrap="auto" w:vAnchor="margin" w:hAnchor="text" w:xAlign="left" w:yAlign="inline"/>
              <w:suppressOverlap w:val="0"/>
            </w:pPr>
            <w:r>
              <w:t>Annual meeting 2013</w:t>
            </w:r>
          </w:p>
        </w:tc>
        <w:tc>
          <w:tcPr>
            <w:tcW w:w="4508" w:type="dxa"/>
            <w:gridSpan w:val="2"/>
            <w:shd w:val="clear" w:color="auto" w:fill="auto"/>
            <w:tcMar>
              <w:left w:w="0" w:type="dxa"/>
            </w:tcMar>
            <w:vAlign w:val="center"/>
          </w:tcPr>
          <w:p w:rsidR="0085168B" w:rsidRPr="00CE6342" w:rsidRDefault="0085168B" w:rsidP="005052C5">
            <w:pPr>
              <w:pStyle w:val="Heading5"/>
            </w:pPr>
          </w:p>
        </w:tc>
      </w:tr>
      <w:tr w:rsidR="007C174F" w:rsidRPr="00692553" w:rsidTr="00966655">
        <w:trPr>
          <w:trHeight w:val="360"/>
          <w:jc w:val="center"/>
        </w:trPr>
        <w:tc>
          <w:tcPr>
            <w:tcW w:w="146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Discussion</w:t>
            </w:r>
          </w:p>
        </w:tc>
        <w:tc>
          <w:tcPr>
            <w:tcW w:w="9343"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8979D8" w:rsidRPr="003C4BA9" w:rsidRDefault="003C4BA9" w:rsidP="003C4BA9">
            <w:pPr>
              <w:pStyle w:val="ListParagraph"/>
              <w:numPr>
                <w:ilvl w:val="0"/>
                <w:numId w:val="12"/>
              </w:numPr>
              <w:rPr>
                <w:rFonts w:asciiTheme="minorHAnsi" w:hAnsiTheme="minorHAnsi" w:cstheme="minorHAnsi"/>
                <w:sz w:val="18"/>
              </w:rPr>
            </w:pPr>
            <w:r w:rsidRPr="003C4BA9">
              <w:rPr>
                <w:sz w:val="20"/>
                <w:szCs w:val="20"/>
              </w:rPr>
              <w:t xml:space="preserve">AMCA </w:t>
            </w:r>
            <w:r>
              <w:rPr>
                <w:sz w:val="20"/>
                <w:szCs w:val="20"/>
              </w:rPr>
              <w:t>annual meeting set for Tuesday 1/29/13 @ 7:30PM at the Ada Park conference room</w:t>
            </w:r>
          </w:p>
          <w:p w:rsidR="00BC294A" w:rsidRPr="003C4BA9" w:rsidRDefault="00BC294A" w:rsidP="00BC294A">
            <w:pPr>
              <w:pStyle w:val="ListParagraph"/>
              <w:numPr>
                <w:ilvl w:val="0"/>
                <w:numId w:val="12"/>
              </w:numPr>
              <w:rPr>
                <w:rFonts w:asciiTheme="minorHAnsi" w:hAnsiTheme="minorHAnsi" w:cstheme="minorHAnsi"/>
                <w:sz w:val="18"/>
              </w:rPr>
            </w:pPr>
            <w:r>
              <w:rPr>
                <w:sz w:val="20"/>
                <w:szCs w:val="20"/>
              </w:rPr>
              <w:t>Need to contact Ada Park to reserve meeting space for 1/29.</w:t>
            </w:r>
          </w:p>
          <w:p w:rsidR="003C4BA9" w:rsidRPr="00BC294A" w:rsidRDefault="003C4BA9" w:rsidP="003C4BA9">
            <w:pPr>
              <w:pStyle w:val="ListParagraph"/>
              <w:numPr>
                <w:ilvl w:val="0"/>
                <w:numId w:val="12"/>
              </w:numPr>
              <w:rPr>
                <w:rFonts w:asciiTheme="minorHAnsi" w:hAnsiTheme="minorHAnsi" w:cstheme="minorHAnsi"/>
                <w:sz w:val="18"/>
              </w:rPr>
            </w:pPr>
            <w:r>
              <w:rPr>
                <w:sz w:val="20"/>
                <w:szCs w:val="20"/>
              </w:rPr>
              <w:t>Jeff Yost to send out a “Save the Date” to the homeowners, post message on Facebook group and on website when it is up.</w:t>
            </w:r>
          </w:p>
          <w:p w:rsidR="003C4BA9" w:rsidRPr="00FB2130" w:rsidRDefault="003C4BA9" w:rsidP="003C4BA9">
            <w:pPr>
              <w:pStyle w:val="ListParagraph"/>
              <w:numPr>
                <w:ilvl w:val="0"/>
                <w:numId w:val="12"/>
              </w:numPr>
              <w:rPr>
                <w:rFonts w:asciiTheme="minorHAnsi" w:hAnsiTheme="minorHAnsi" w:cstheme="minorHAnsi"/>
                <w:sz w:val="18"/>
              </w:rPr>
            </w:pPr>
            <w:r>
              <w:rPr>
                <w:sz w:val="20"/>
                <w:szCs w:val="20"/>
              </w:rPr>
              <w:t>Mailing will go out again in January reminding homeowners of new dues for 2013 and meeting date</w:t>
            </w:r>
            <w:r w:rsidR="00E86E5D">
              <w:rPr>
                <w:sz w:val="20"/>
                <w:szCs w:val="20"/>
              </w:rPr>
              <w:t>.  Include in mailing request for volunteers to participate on the board for 2013.</w:t>
            </w:r>
          </w:p>
          <w:p w:rsidR="00FB2130" w:rsidRPr="003C4BA9" w:rsidRDefault="007511FA" w:rsidP="003C4BA9">
            <w:pPr>
              <w:pStyle w:val="ListParagraph"/>
              <w:numPr>
                <w:ilvl w:val="0"/>
                <w:numId w:val="12"/>
              </w:numPr>
              <w:rPr>
                <w:rFonts w:asciiTheme="minorHAnsi" w:hAnsiTheme="minorHAnsi" w:cstheme="minorHAnsi"/>
                <w:sz w:val="18"/>
              </w:rPr>
            </w:pPr>
            <w:r>
              <w:rPr>
                <w:sz w:val="20"/>
                <w:szCs w:val="20"/>
              </w:rPr>
              <w:t>Investigate bylaws to determine if they state a minimum number of times the board meets annually.  Determine if opportunity exists to reduce meeting dates from monthly.</w:t>
            </w:r>
          </w:p>
          <w:p w:rsidR="003C4BA9" w:rsidRPr="00966655" w:rsidRDefault="003C4BA9" w:rsidP="003C4BA9">
            <w:pPr>
              <w:pStyle w:val="ListParagraph"/>
              <w:numPr>
                <w:ilvl w:val="0"/>
                <w:numId w:val="12"/>
              </w:numPr>
              <w:rPr>
                <w:rFonts w:asciiTheme="minorHAnsi" w:hAnsiTheme="minorHAnsi" w:cstheme="minorHAnsi"/>
                <w:sz w:val="18"/>
              </w:rPr>
            </w:pPr>
            <w:r>
              <w:rPr>
                <w:sz w:val="20"/>
                <w:szCs w:val="20"/>
              </w:rPr>
              <w:t>Invite TCCC president/representative to discuss Front Entrance plans for repair.</w:t>
            </w:r>
          </w:p>
          <w:p w:rsidR="00966655" w:rsidRPr="003C4BA9" w:rsidRDefault="00966655" w:rsidP="003C4BA9">
            <w:pPr>
              <w:pStyle w:val="ListParagraph"/>
              <w:numPr>
                <w:ilvl w:val="0"/>
                <w:numId w:val="12"/>
              </w:numPr>
              <w:rPr>
                <w:rFonts w:asciiTheme="minorHAnsi" w:hAnsiTheme="minorHAnsi" w:cstheme="minorHAnsi"/>
                <w:sz w:val="18"/>
              </w:rPr>
            </w:pPr>
            <w:r>
              <w:rPr>
                <w:sz w:val="20"/>
                <w:szCs w:val="20"/>
              </w:rPr>
              <w:t>J. Yost to send 2011 presentation to B. Bush.</w:t>
            </w:r>
          </w:p>
          <w:p w:rsidR="003C4BA9" w:rsidRPr="003C4BA9" w:rsidRDefault="003C4BA9" w:rsidP="003C4BA9">
            <w:pPr>
              <w:pStyle w:val="ListParagraph"/>
              <w:numPr>
                <w:ilvl w:val="0"/>
                <w:numId w:val="12"/>
              </w:numPr>
              <w:rPr>
                <w:rFonts w:asciiTheme="minorHAnsi" w:hAnsiTheme="minorHAnsi" w:cstheme="minorHAnsi"/>
                <w:sz w:val="18"/>
              </w:rPr>
            </w:pPr>
            <w:r>
              <w:rPr>
                <w:sz w:val="20"/>
                <w:szCs w:val="20"/>
              </w:rPr>
              <w:t>AGENDA</w:t>
            </w:r>
          </w:p>
          <w:p w:rsidR="003C4BA9" w:rsidRPr="003C4BA9" w:rsidRDefault="003C4BA9" w:rsidP="003C4BA9">
            <w:pPr>
              <w:pStyle w:val="ListParagraph"/>
              <w:numPr>
                <w:ilvl w:val="1"/>
                <w:numId w:val="12"/>
              </w:numPr>
              <w:rPr>
                <w:rFonts w:asciiTheme="minorHAnsi" w:hAnsiTheme="minorHAnsi" w:cstheme="minorHAnsi"/>
                <w:sz w:val="18"/>
              </w:rPr>
            </w:pPr>
            <w:r>
              <w:rPr>
                <w:sz w:val="20"/>
                <w:szCs w:val="20"/>
              </w:rPr>
              <w:t>Ensure quorum is achieved</w:t>
            </w:r>
          </w:p>
          <w:p w:rsidR="003C4BA9" w:rsidRPr="00E86E5D" w:rsidRDefault="003C4BA9" w:rsidP="003C4BA9">
            <w:pPr>
              <w:pStyle w:val="ListParagraph"/>
              <w:numPr>
                <w:ilvl w:val="1"/>
                <w:numId w:val="12"/>
              </w:numPr>
              <w:rPr>
                <w:rFonts w:asciiTheme="minorHAnsi" w:hAnsiTheme="minorHAnsi" w:cstheme="minorHAnsi"/>
                <w:sz w:val="18"/>
              </w:rPr>
            </w:pPr>
            <w:r>
              <w:rPr>
                <w:sz w:val="20"/>
                <w:szCs w:val="20"/>
              </w:rPr>
              <w:t>Vote on new members for 2013</w:t>
            </w:r>
          </w:p>
          <w:p w:rsidR="00E86E5D" w:rsidRPr="00E86E5D" w:rsidRDefault="00E86E5D" w:rsidP="003C4BA9">
            <w:pPr>
              <w:pStyle w:val="ListParagraph"/>
              <w:numPr>
                <w:ilvl w:val="1"/>
                <w:numId w:val="12"/>
              </w:numPr>
              <w:rPr>
                <w:rFonts w:asciiTheme="minorHAnsi" w:hAnsiTheme="minorHAnsi" w:cstheme="minorHAnsi"/>
                <w:sz w:val="18"/>
              </w:rPr>
            </w:pPr>
            <w:r>
              <w:rPr>
                <w:sz w:val="20"/>
                <w:szCs w:val="20"/>
              </w:rPr>
              <w:t>Treasury Report for 2012 performance</w:t>
            </w:r>
          </w:p>
          <w:p w:rsidR="00E86E5D" w:rsidRPr="00E86E5D" w:rsidRDefault="00E86E5D" w:rsidP="003C4BA9">
            <w:pPr>
              <w:pStyle w:val="ListParagraph"/>
              <w:numPr>
                <w:ilvl w:val="1"/>
                <w:numId w:val="12"/>
              </w:numPr>
              <w:rPr>
                <w:rFonts w:asciiTheme="minorHAnsi" w:hAnsiTheme="minorHAnsi" w:cstheme="minorHAnsi"/>
                <w:sz w:val="18"/>
              </w:rPr>
            </w:pPr>
            <w:r>
              <w:rPr>
                <w:sz w:val="20"/>
                <w:szCs w:val="20"/>
              </w:rPr>
              <w:t>Budget proposal for 2013 including increased dues for Road Commission support</w:t>
            </w:r>
          </w:p>
          <w:p w:rsidR="00E86E5D" w:rsidRPr="00E86E5D" w:rsidRDefault="00E86E5D" w:rsidP="003C4BA9">
            <w:pPr>
              <w:pStyle w:val="ListParagraph"/>
              <w:numPr>
                <w:ilvl w:val="1"/>
                <w:numId w:val="12"/>
              </w:numPr>
              <w:rPr>
                <w:rFonts w:asciiTheme="minorHAnsi" w:hAnsiTheme="minorHAnsi" w:cstheme="minorHAnsi"/>
                <w:sz w:val="18"/>
              </w:rPr>
            </w:pPr>
            <w:r>
              <w:rPr>
                <w:sz w:val="20"/>
                <w:szCs w:val="20"/>
              </w:rPr>
              <w:t>Front Entrance Update by TCCC</w:t>
            </w:r>
          </w:p>
          <w:p w:rsidR="00E86E5D" w:rsidRPr="008523F4" w:rsidRDefault="00E86E5D" w:rsidP="003C4BA9">
            <w:pPr>
              <w:pStyle w:val="ListParagraph"/>
              <w:numPr>
                <w:ilvl w:val="1"/>
                <w:numId w:val="12"/>
              </w:numPr>
              <w:rPr>
                <w:rFonts w:asciiTheme="minorHAnsi" w:hAnsiTheme="minorHAnsi" w:cstheme="minorHAnsi"/>
                <w:sz w:val="18"/>
              </w:rPr>
            </w:pPr>
            <w:r>
              <w:rPr>
                <w:sz w:val="20"/>
                <w:szCs w:val="20"/>
              </w:rPr>
              <w:t>Open Items for discussion/questions</w:t>
            </w:r>
          </w:p>
        </w:tc>
      </w:tr>
      <w:tr w:rsidR="007C174F" w:rsidRPr="00692553" w:rsidTr="00966655">
        <w:trPr>
          <w:trHeight w:val="360"/>
          <w:jc w:val="center"/>
        </w:trPr>
        <w:tc>
          <w:tcPr>
            <w:tcW w:w="146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Conclusions</w:t>
            </w:r>
          </w:p>
        </w:tc>
        <w:tc>
          <w:tcPr>
            <w:tcW w:w="9343"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7C174F" w:rsidRPr="00692553" w:rsidRDefault="007C174F" w:rsidP="005052C5"/>
        </w:tc>
      </w:tr>
      <w:tr w:rsidR="007C174F" w:rsidRPr="00692553" w:rsidTr="00966655">
        <w:trPr>
          <w:trHeight w:val="360"/>
          <w:jc w:val="center"/>
        </w:trPr>
        <w:tc>
          <w:tcPr>
            <w:tcW w:w="5678"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Person responsible</w:t>
            </w:r>
          </w:p>
        </w:tc>
        <w:tc>
          <w:tcPr>
            <w:tcW w:w="26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Deadline</w:t>
            </w:r>
          </w:p>
        </w:tc>
      </w:tr>
      <w:tr w:rsidR="0085168B" w:rsidRPr="00692553" w:rsidTr="00966655">
        <w:trPr>
          <w:trHeight w:val="360"/>
          <w:jc w:val="center"/>
        </w:trPr>
        <w:tc>
          <w:tcPr>
            <w:tcW w:w="567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26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5052C5" w:rsidRPr="00692553" w:rsidTr="00966655">
        <w:trPr>
          <w:trHeight w:hRule="exact" w:val="115"/>
          <w:jc w:val="center"/>
        </w:trPr>
        <w:tc>
          <w:tcPr>
            <w:tcW w:w="5678" w:type="dxa"/>
            <w:gridSpan w:val="6"/>
            <w:tcBorders>
              <w:top w:val="single" w:sz="4" w:space="0" w:color="C0C0C0"/>
            </w:tcBorders>
            <w:shd w:val="clear" w:color="auto" w:fill="auto"/>
            <w:vAlign w:val="center"/>
          </w:tcPr>
          <w:p w:rsidR="005052C5" w:rsidRPr="00692553" w:rsidRDefault="005052C5" w:rsidP="005052C5"/>
        </w:tc>
        <w:tc>
          <w:tcPr>
            <w:tcW w:w="2514" w:type="dxa"/>
            <w:gridSpan w:val="3"/>
            <w:tcBorders>
              <w:top w:val="single" w:sz="4" w:space="0" w:color="C0C0C0"/>
            </w:tcBorders>
            <w:shd w:val="clear" w:color="auto" w:fill="auto"/>
            <w:vAlign w:val="center"/>
          </w:tcPr>
          <w:p w:rsidR="005052C5" w:rsidRPr="00692553" w:rsidRDefault="005052C5" w:rsidP="005052C5"/>
        </w:tc>
        <w:tc>
          <w:tcPr>
            <w:tcW w:w="2618" w:type="dxa"/>
            <w:tcBorders>
              <w:top w:val="single" w:sz="4" w:space="0" w:color="C0C0C0"/>
            </w:tcBorders>
            <w:shd w:val="clear" w:color="auto" w:fill="auto"/>
            <w:vAlign w:val="center"/>
          </w:tcPr>
          <w:p w:rsidR="005052C5" w:rsidRPr="00692553" w:rsidRDefault="005052C5" w:rsidP="005052C5"/>
        </w:tc>
      </w:tr>
      <w:tr w:rsidR="00CE6342" w:rsidRPr="00692553" w:rsidTr="00966655">
        <w:tblPrEx>
          <w:tblBorders>
            <w:bottom w:val="single" w:sz="12" w:space="0" w:color="999999"/>
          </w:tblBorders>
        </w:tblPrEx>
        <w:trPr>
          <w:trHeight w:val="360"/>
          <w:jc w:val="center"/>
        </w:trPr>
        <w:tc>
          <w:tcPr>
            <w:tcW w:w="2416" w:type="dxa"/>
            <w:gridSpan w:val="3"/>
            <w:tcBorders>
              <w:top w:val="nil"/>
            </w:tcBorders>
            <w:shd w:val="clear" w:color="auto" w:fill="auto"/>
            <w:tcMar>
              <w:left w:w="0" w:type="dxa"/>
            </w:tcMar>
            <w:vAlign w:val="center"/>
          </w:tcPr>
          <w:p w:rsidR="00CE6342" w:rsidRPr="00495E0E" w:rsidRDefault="00CE6342" w:rsidP="00495E0E">
            <w:pPr>
              <w:pStyle w:val="Heading4"/>
              <w:framePr w:hSpace="0" w:wrap="auto" w:vAnchor="margin" w:hAnchor="text" w:xAlign="left" w:yAlign="inline"/>
              <w:suppressOverlap w:val="0"/>
            </w:pPr>
          </w:p>
        </w:tc>
        <w:tc>
          <w:tcPr>
            <w:tcW w:w="3868" w:type="dxa"/>
            <w:gridSpan w:val="4"/>
            <w:tcBorders>
              <w:top w:val="nil"/>
            </w:tcBorders>
            <w:shd w:val="clear" w:color="auto" w:fill="auto"/>
            <w:tcMar>
              <w:left w:w="0" w:type="dxa"/>
            </w:tcMar>
            <w:vAlign w:val="center"/>
          </w:tcPr>
          <w:p w:rsidR="00CE6342" w:rsidRPr="00692553" w:rsidRDefault="00BC294A" w:rsidP="00495E0E">
            <w:pPr>
              <w:pStyle w:val="Heading4"/>
              <w:framePr w:hSpace="0" w:wrap="auto" w:vAnchor="margin" w:hAnchor="text" w:xAlign="left" w:yAlign="inline"/>
              <w:suppressOverlap w:val="0"/>
            </w:pPr>
            <w:r>
              <w:t>Website</w:t>
            </w:r>
          </w:p>
        </w:tc>
        <w:tc>
          <w:tcPr>
            <w:tcW w:w="4526" w:type="dxa"/>
            <w:gridSpan w:val="3"/>
            <w:tcBorders>
              <w:top w:val="nil"/>
            </w:tcBorders>
            <w:shd w:val="clear" w:color="auto" w:fill="auto"/>
            <w:tcMar>
              <w:left w:w="0" w:type="dxa"/>
            </w:tcMar>
            <w:vAlign w:val="center"/>
          </w:tcPr>
          <w:p w:rsidR="00CE6342" w:rsidRPr="00CE6342" w:rsidRDefault="00CE6342" w:rsidP="00495E0E">
            <w:pPr>
              <w:pStyle w:val="Heading5"/>
            </w:pPr>
          </w:p>
        </w:tc>
      </w:tr>
      <w:tr w:rsidR="00E4591C" w:rsidRPr="00692553" w:rsidTr="00966655">
        <w:trPr>
          <w:trHeight w:val="360"/>
          <w:jc w:val="center"/>
        </w:trPr>
        <w:tc>
          <w:tcPr>
            <w:tcW w:w="146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4591C" w:rsidRPr="00692553" w:rsidRDefault="00E4591C" w:rsidP="00E4591C">
            <w:pPr>
              <w:pStyle w:val="AllCapsHeading"/>
            </w:pPr>
            <w:r>
              <w:t>Discussion</w:t>
            </w:r>
          </w:p>
        </w:tc>
        <w:tc>
          <w:tcPr>
            <w:tcW w:w="9343"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9F19A8" w:rsidRDefault="00BC294A" w:rsidP="00BC294A">
            <w:pPr>
              <w:pStyle w:val="ListParagraph"/>
              <w:numPr>
                <w:ilvl w:val="0"/>
                <w:numId w:val="13"/>
              </w:numPr>
              <w:rPr>
                <w:rFonts w:asciiTheme="minorHAnsi" w:hAnsiTheme="minorHAnsi" w:cstheme="minorHAnsi"/>
                <w:sz w:val="18"/>
              </w:rPr>
            </w:pPr>
            <w:r>
              <w:rPr>
                <w:rFonts w:asciiTheme="minorHAnsi" w:hAnsiTheme="minorHAnsi" w:cstheme="minorHAnsi"/>
                <w:sz w:val="18"/>
              </w:rPr>
              <w:t xml:space="preserve">Website will be </w:t>
            </w:r>
            <w:r w:rsidRPr="00BC294A">
              <w:rPr>
                <w:rFonts w:asciiTheme="minorHAnsi" w:hAnsiTheme="minorHAnsi" w:cstheme="minorHAnsi"/>
                <w:color w:val="0070C0"/>
                <w:sz w:val="18"/>
                <w:u w:val="single"/>
              </w:rPr>
              <w:t>adamooringscondoassociation.org</w:t>
            </w:r>
          </w:p>
          <w:p w:rsidR="00BC294A" w:rsidRDefault="00BC294A" w:rsidP="00BC294A">
            <w:pPr>
              <w:pStyle w:val="ListParagraph"/>
              <w:numPr>
                <w:ilvl w:val="0"/>
                <w:numId w:val="13"/>
              </w:numPr>
              <w:rPr>
                <w:rFonts w:asciiTheme="minorHAnsi" w:hAnsiTheme="minorHAnsi" w:cstheme="minorHAnsi"/>
                <w:sz w:val="18"/>
              </w:rPr>
            </w:pPr>
            <w:r>
              <w:rPr>
                <w:rFonts w:asciiTheme="minorHAnsi" w:hAnsiTheme="minorHAnsi" w:cstheme="minorHAnsi"/>
                <w:sz w:val="18"/>
              </w:rPr>
              <w:t>Website will be up and running by 11/18 for review by the board.</w:t>
            </w:r>
          </w:p>
          <w:p w:rsidR="00BC294A" w:rsidRPr="00BC294A" w:rsidRDefault="00BC294A" w:rsidP="00BC294A">
            <w:pPr>
              <w:pStyle w:val="ListParagraph"/>
              <w:numPr>
                <w:ilvl w:val="0"/>
                <w:numId w:val="13"/>
              </w:numPr>
              <w:rPr>
                <w:rFonts w:asciiTheme="minorHAnsi" w:hAnsiTheme="minorHAnsi" w:cstheme="minorHAnsi"/>
                <w:sz w:val="18"/>
              </w:rPr>
            </w:pPr>
            <w:r>
              <w:rPr>
                <w:rFonts w:asciiTheme="minorHAnsi" w:hAnsiTheme="minorHAnsi" w:cstheme="minorHAnsi"/>
                <w:sz w:val="18"/>
              </w:rPr>
              <w:t>Will include meeting minutes, copy of master deed and other pertinent documents for neighborhood.</w:t>
            </w:r>
          </w:p>
        </w:tc>
      </w:tr>
      <w:tr w:rsidR="00E4591C" w:rsidRPr="00692553" w:rsidTr="00966655">
        <w:trPr>
          <w:trHeight w:val="360"/>
          <w:jc w:val="center"/>
        </w:trPr>
        <w:tc>
          <w:tcPr>
            <w:tcW w:w="146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4591C" w:rsidRPr="00692553" w:rsidRDefault="00E4591C" w:rsidP="00E4591C">
            <w:pPr>
              <w:pStyle w:val="AllCapsHeading"/>
            </w:pPr>
            <w:r>
              <w:t>Conclusions</w:t>
            </w:r>
          </w:p>
        </w:tc>
        <w:tc>
          <w:tcPr>
            <w:tcW w:w="9343"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E4591C" w:rsidRPr="00692553" w:rsidRDefault="00E4591C" w:rsidP="00D621F4"/>
        </w:tc>
      </w:tr>
      <w:tr w:rsidR="0085168B" w:rsidRPr="00692553" w:rsidTr="00966655">
        <w:trPr>
          <w:trHeight w:val="360"/>
          <w:jc w:val="center"/>
        </w:trPr>
        <w:tc>
          <w:tcPr>
            <w:tcW w:w="5678"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4591C" w:rsidP="00E4591C">
            <w:pPr>
              <w:pStyle w:val="AllCapsHeading"/>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4591C" w:rsidP="00E4591C">
            <w:pPr>
              <w:pStyle w:val="AllCapsHeading"/>
            </w:pPr>
            <w:r>
              <w:t>Person responsible</w:t>
            </w:r>
          </w:p>
        </w:tc>
        <w:tc>
          <w:tcPr>
            <w:tcW w:w="2618"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4591C" w:rsidP="00E4591C">
            <w:pPr>
              <w:pStyle w:val="AllCapsHeading"/>
            </w:pPr>
            <w:r>
              <w:t>Deadline</w:t>
            </w:r>
          </w:p>
        </w:tc>
      </w:tr>
      <w:tr w:rsidR="0085168B" w:rsidRPr="00692553" w:rsidTr="00966655">
        <w:trPr>
          <w:trHeight w:val="360"/>
          <w:jc w:val="center"/>
        </w:trPr>
        <w:tc>
          <w:tcPr>
            <w:tcW w:w="5678"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621F4"/>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621F4"/>
        </w:tc>
        <w:tc>
          <w:tcPr>
            <w:tcW w:w="26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621F4"/>
        </w:tc>
      </w:tr>
      <w:tr w:rsidR="00456620" w:rsidRPr="00692553" w:rsidTr="00966655">
        <w:trPr>
          <w:trHeight w:hRule="exact" w:val="101"/>
          <w:jc w:val="center"/>
        </w:trPr>
        <w:tc>
          <w:tcPr>
            <w:tcW w:w="10810" w:type="dxa"/>
            <w:gridSpan w:val="10"/>
            <w:tcBorders>
              <w:top w:val="single" w:sz="4" w:space="0" w:color="C0C0C0"/>
            </w:tcBorders>
            <w:shd w:val="clear" w:color="auto" w:fill="auto"/>
            <w:tcMar>
              <w:left w:w="0" w:type="dxa"/>
            </w:tcMar>
            <w:vAlign w:val="center"/>
          </w:tcPr>
          <w:p w:rsidR="00456620" w:rsidRPr="00CE6342" w:rsidRDefault="00456620" w:rsidP="00456620"/>
        </w:tc>
      </w:tr>
      <w:tr w:rsidR="00456620" w:rsidRPr="00692553" w:rsidTr="00966655">
        <w:trPr>
          <w:trHeight w:val="360"/>
          <w:jc w:val="center"/>
        </w:trPr>
        <w:tc>
          <w:tcPr>
            <w:tcW w:w="2537" w:type="dxa"/>
            <w:gridSpan w:val="4"/>
            <w:tcBorders>
              <w:bottom w:val="single" w:sz="12" w:space="0" w:color="999999"/>
            </w:tcBorders>
            <w:shd w:val="clear" w:color="auto" w:fill="auto"/>
            <w:tcMar>
              <w:left w:w="0" w:type="dxa"/>
            </w:tcMar>
            <w:vAlign w:val="center"/>
          </w:tcPr>
          <w:p w:rsidR="00456620" w:rsidRPr="00692553" w:rsidRDefault="00456620" w:rsidP="00456620">
            <w:pPr>
              <w:pStyle w:val="Heading4"/>
              <w:framePr w:hSpace="0" w:wrap="auto" w:vAnchor="margin" w:hAnchor="text" w:xAlign="left" w:yAlign="inline"/>
              <w:suppressOverlap w:val="0"/>
            </w:pPr>
          </w:p>
        </w:tc>
        <w:tc>
          <w:tcPr>
            <w:tcW w:w="3747" w:type="dxa"/>
            <w:gridSpan w:val="3"/>
            <w:tcBorders>
              <w:bottom w:val="single" w:sz="12" w:space="0" w:color="999999"/>
            </w:tcBorders>
            <w:shd w:val="clear" w:color="auto" w:fill="auto"/>
            <w:tcMar>
              <w:left w:w="0" w:type="dxa"/>
            </w:tcMar>
            <w:vAlign w:val="center"/>
          </w:tcPr>
          <w:p w:rsidR="00456620" w:rsidRPr="00692553" w:rsidRDefault="00767651" w:rsidP="00456620">
            <w:pPr>
              <w:pStyle w:val="Heading4"/>
              <w:framePr w:hSpace="0" w:wrap="auto" w:vAnchor="margin" w:hAnchor="text" w:xAlign="left" w:yAlign="inline"/>
              <w:suppressOverlap w:val="0"/>
            </w:pPr>
            <w:r>
              <w:t>OPEN ISSUES</w:t>
            </w:r>
          </w:p>
        </w:tc>
        <w:tc>
          <w:tcPr>
            <w:tcW w:w="4526" w:type="dxa"/>
            <w:gridSpan w:val="3"/>
            <w:tcBorders>
              <w:bottom w:val="single" w:sz="12" w:space="0" w:color="999999"/>
            </w:tcBorders>
            <w:shd w:val="clear" w:color="auto" w:fill="auto"/>
            <w:tcMar>
              <w:left w:w="0" w:type="dxa"/>
            </w:tcMar>
            <w:vAlign w:val="center"/>
          </w:tcPr>
          <w:p w:rsidR="00456620" w:rsidRPr="00CE6342" w:rsidRDefault="00456620" w:rsidP="00456620">
            <w:pPr>
              <w:pStyle w:val="Heading5"/>
            </w:pPr>
          </w:p>
        </w:tc>
      </w:tr>
      <w:tr w:rsidR="00E4591C" w:rsidRPr="00692553" w:rsidTr="00966655">
        <w:trPr>
          <w:trHeight w:val="360"/>
          <w:jc w:val="center"/>
        </w:trPr>
        <w:tc>
          <w:tcPr>
            <w:tcW w:w="146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4591C" w:rsidRPr="00692553" w:rsidRDefault="00E4591C" w:rsidP="00E4591C">
            <w:pPr>
              <w:pStyle w:val="AllCapsHeading"/>
            </w:pPr>
            <w:r>
              <w:t>Discussion</w:t>
            </w:r>
          </w:p>
        </w:tc>
        <w:tc>
          <w:tcPr>
            <w:tcW w:w="9343"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190418" w:rsidRDefault="00767651" w:rsidP="00767651">
            <w:pPr>
              <w:pStyle w:val="ListParagraph"/>
              <w:numPr>
                <w:ilvl w:val="0"/>
                <w:numId w:val="14"/>
              </w:numPr>
              <w:rPr>
                <w:rFonts w:asciiTheme="minorHAnsi" w:hAnsiTheme="minorHAnsi" w:cstheme="minorHAnsi"/>
                <w:sz w:val="18"/>
              </w:rPr>
            </w:pPr>
            <w:r>
              <w:rPr>
                <w:rFonts w:asciiTheme="minorHAnsi" w:hAnsiTheme="minorHAnsi" w:cstheme="minorHAnsi"/>
                <w:sz w:val="18"/>
              </w:rPr>
              <w:t xml:space="preserve">Homeowner Michael Minton brought several concerns to the board.  Included in this was the boards active upholding of the bylaws.  Need to review bylaws for penalties that can be implemented for failing to comply </w:t>
            </w:r>
            <w:proofErr w:type="gramStart"/>
            <w:r>
              <w:rPr>
                <w:rFonts w:asciiTheme="minorHAnsi" w:hAnsiTheme="minorHAnsi" w:cstheme="minorHAnsi"/>
                <w:sz w:val="18"/>
              </w:rPr>
              <w:t>to</w:t>
            </w:r>
            <w:proofErr w:type="gramEnd"/>
            <w:r>
              <w:rPr>
                <w:rFonts w:asciiTheme="minorHAnsi" w:hAnsiTheme="minorHAnsi" w:cstheme="minorHAnsi"/>
                <w:sz w:val="18"/>
              </w:rPr>
              <w:t xml:space="preserve"> bylaws.  Our stance has been consistent – if a concern is brought to the attention </w:t>
            </w:r>
            <w:r w:rsidR="00904FCA">
              <w:rPr>
                <w:rFonts w:asciiTheme="minorHAnsi" w:hAnsiTheme="minorHAnsi" w:cstheme="minorHAnsi"/>
                <w:sz w:val="18"/>
              </w:rPr>
              <w:t>of the board by a homeowner or we notice a non-compliance with the bylaws our board will address it with the specific homeowner by discussing the concern.    We are not “policing” the neighborhood for compliance with the bylaws.  If the non-compliance continues the board will formally put the request in writing and will follow on potentially putting a lien on the property.</w:t>
            </w:r>
          </w:p>
          <w:p w:rsidR="00904FCA" w:rsidRDefault="00904FCA" w:rsidP="00767651">
            <w:pPr>
              <w:pStyle w:val="ListParagraph"/>
              <w:numPr>
                <w:ilvl w:val="0"/>
                <w:numId w:val="14"/>
              </w:numPr>
              <w:rPr>
                <w:rFonts w:asciiTheme="minorHAnsi" w:hAnsiTheme="minorHAnsi" w:cstheme="minorHAnsi"/>
                <w:sz w:val="18"/>
              </w:rPr>
            </w:pPr>
            <w:r>
              <w:rPr>
                <w:rFonts w:asciiTheme="minorHAnsi" w:hAnsiTheme="minorHAnsi" w:cstheme="minorHAnsi"/>
                <w:sz w:val="18"/>
              </w:rPr>
              <w:t>Front Entrance Pond Pump</w:t>
            </w:r>
          </w:p>
          <w:p w:rsidR="00904FCA" w:rsidRDefault="00904FCA" w:rsidP="00904FCA">
            <w:pPr>
              <w:pStyle w:val="ListParagraph"/>
              <w:numPr>
                <w:ilvl w:val="1"/>
                <w:numId w:val="14"/>
              </w:numPr>
              <w:rPr>
                <w:rFonts w:asciiTheme="minorHAnsi" w:hAnsiTheme="minorHAnsi" w:cstheme="minorHAnsi"/>
                <w:sz w:val="18"/>
              </w:rPr>
            </w:pPr>
            <w:r>
              <w:rPr>
                <w:rFonts w:asciiTheme="minorHAnsi" w:hAnsiTheme="minorHAnsi" w:cstheme="minorHAnsi"/>
                <w:sz w:val="18"/>
              </w:rPr>
              <w:t>Jim has obtained the quote for replacement on the pump.  He is going to send out that quote to the board and obtain 2 more competitive quotes from PLM and Aquatic Doctor.</w:t>
            </w:r>
          </w:p>
          <w:p w:rsidR="00904FCA" w:rsidRPr="00767651" w:rsidRDefault="00904FCA" w:rsidP="00904FCA">
            <w:pPr>
              <w:pStyle w:val="ListParagraph"/>
              <w:numPr>
                <w:ilvl w:val="1"/>
                <w:numId w:val="14"/>
              </w:numPr>
              <w:rPr>
                <w:rFonts w:asciiTheme="minorHAnsi" w:hAnsiTheme="minorHAnsi" w:cstheme="minorHAnsi"/>
                <w:sz w:val="18"/>
              </w:rPr>
            </w:pPr>
            <w:r>
              <w:rPr>
                <w:rFonts w:asciiTheme="minorHAnsi" w:hAnsiTheme="minorHAnsi" w:cstheme="minorHAnsi"/>
                <w:sz w:val="18"/>
              </w:rPr>
              <w:t>Once competitive quotes are obtained we will proceed with the replacement as soon as possible.</w:t>
            </w:r>
          </w:p>
        </w:tc>
      </w:tr>
      <w:tr w:rsidR="00E4591C" w:rsidRPr="00692553" w:rsidTr="00966655">
        <w:trPr>
          <w:trHeight w:val="360"/>
          <w:jc w:val="center"/>
        </w:trPr>
        <w:tc>
          <w:tcPr>
            <w:tcW w:w="146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4591C" w:rsidRPr="00692553" w:rsidRDefault="00E4591C" w:rsidP="00E4591C">
            <w:pPr>
              <w:pStyle w:val="AllCapsHeading"/>
            </w:pPr>
            <w:r>
              <w:lastRenderedPageBreak/>
              <w:t>Conclusions</w:t>
            </w:r>
          </w:p>
        </w:tc>
        <w:tc>
          <w:tcPr>
            <w:tcW w:w="9343"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E4591C" w:rsidRPr="00692553" w:rsidRDefault="00E4591C" w:rsidP="00E4591C"/>
        </w:tc>
      </w:tr>
      <w:tr w:rsidR="00541222" w:rsidRPr="00456620" w:rsidTr="00966655">
        <w:trPr>
          <w:trHeight w:hRule="exact" w:val="101"/>
          <w:jc w:val="center"/>
        </w:trPr>
        <w:tc>
          <w:tcPr>
            <w:tcW w:w="10810" w:type="dxa"/>
            <w:gridSpan w:val="10"/>
            <w:tcBorders>
              <w:top w:val="single" w:sz="4" w:space="0" w:color="C0C0C0"/>
            </w:tcBorders>
            <w:shd w:val="clear" w:color="auto" w:fill="auto"/>
            <w:tcMar>
              <w:left w:w="0" w:type="dxa"/>
            </w:tcMar>
            <w:vAlign w:val="center"/>
          </w:tcPr>
          <w:p w:rsidR="00541222" w:rsidRPr="00CE6342" w:rsidRDefault="00541222" w:rsidP="00456620"/>
        </w:tc>
      </w:tr>
    </w:tbl>
    <w:p w:rsidR="0085168B" w:rsidRPr="00692553" w:rsidRDefault="0085168B" w:rsidP="00BB5323"/>
    <w:sectPr w:rsidR="0085168B" w:rsidRPr="00692553" w:rsidSect="003C4BA9">
      <w:type w:val="continuous"/>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FA2"/>
    <w:multiLevelType w:val="hybridMultilevel"/>
    <w:tmpl w:val="79EA8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672AA"/>
    <w:multiLevelType w:val="hybridMultilevel"/>
    <w:tmpl w:val="37F888A6"/>
    <w:lvl w:ilvl="0" w:tplc="DBE80E9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C65DF"/>
    <w:multiLevelType w:val="hybridMultilevel"/>
    <w:tmpl w:val="0FEAF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62940"/>
    <w:multiLevelType w:val="hybridMultilevel"/>
    <w:tmpl w:val="1A6E3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C58D1"/>
    <w:multiLevelType w:val="hybridMultilevel"/>
    <w:tmpl w:val="47DE6C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0421FF"/>
    <w:multiLevelType w:val="hybridMultilevel"/>
    <w:tmpl w:val="E7205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21B98"/>
    <w:multiLevelType w:val="hybridMultilevel"/>
    <w:tmpl w:val="912491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B60739"/>
    <w:multiLevelType w:val="hybridMultilevel"/>
    <w:tmpl w:val="F056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808E3"/>
    <w:multiLevelType w:val="hybridMultilevel"/>
    <w:tmpl w:val="C4604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A7204"/>
    <w:multiLevelType w:val="hybridMultilevel"/>
    <w:tmpl w:val="AC5C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A61BE7"/>
    <w:multiLevelType w:val="hybridMultilevel"/>
    <w:tmpl w:val="657A71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242868"/>
    <w:multiLevelType w:val="hybridMultilevel"/>
    <w:tmpl w:val="99947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787D9E"/>
    <w:multiLevelType w:val="hybridMultilevel"/>
    <w:tmpl w:val="0E1A3B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C28623B"/>
    <w:multiLevelType w:val="hybridMultilevel"/>
    <w:tmpl w:val="0ECCEF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10"/>
  </w:num>
  <w:num w:numId="4">
    <w:abstractNumId w:val="5"/>
  </w:num>
  <w:num w:numId="5">
    <w:abstractNumId w:val="4"/>
  </w:num>
  <w:num w:numId="6">
    <w:abstractNumId w:val="8"/>
  </w:num>
  <w:num w:numId="7">
    <w:abstractNumId w:val="7"/>
  </w:num>
  <w:num w:numId="8">
    <w:abstractNumId w:val="9"/>
  </w:num>
  <w:num w:numId="9">
    <w:abstractNumId w:val="2"/>
  </w:num>
  <w:num w:numId="10">
    <w:abstractNumId w:val="1"/>
  </w:num>
  <w:num w:numId="11">
    <w:abstractNumId w:val="12"/>
  </w:num>
  <w:num w:numId="12">
    <w:abstractNumId w:val="6"/>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F6"/>
    <w:rsid w:val="000145A5"/>
    <w:rsid w:val="00043514"/>
    <w:rsid w:val="00095EFC"/>
    <w:rsid w:val="000D44C4"/>
    <w:rsid w:val="00127EF6"/>
    <w:rsid w:val="001475FD"/>
    <w:rsid w:val="00190071"/>
    <w:rsid w:val="00190418"/>
    <w:rsid w:val="001D1AF0"/>
    <w:rsid w:val="001E4962"/>
    <w:rsid w:val="002138F0"/>
    <w:rsid w:val="00241A9A"/>
    <w:rsid w:val="00294732"/>
    <w:rsid w:val="002B27CA"/>
    <w:rsid w:val="002E38E4"/>
    <w:rsid w:val="003258E9"/>
    <w:rsid w:val="00335CDC"/>
    <w:rsid w:val="00352C8E"/>
    <w:rsid w:val="00383DD5"/>
    <w:rsid w:val="003B7FB6"/>
    <w:rsid w:val="003C0B97"/>
    <w:rsid w:val="003C4BA9"/>
    <w:rsid w:val="00417272"/>
    <w:rsid w:val="00451AB8"/>
    <w:rsid w:val="004531EC"/>
    <w:rsid w:val="00456620"/>
    <w:rsid w:val="00495E0E"/>
    <w:rsid w:val="004F5244"/>
    <w:rsid w:val="005052C5"/>
    <w:rsid w:val="0050794C"/>
    <w:rsid w:val="00513EF7"/>
    <w:rsid w:val="00531002"/>
    <w:rsid w:val="00541222"/>
    <w:rsid w:val="00575FB3"/>
    <w:rsid w:val="00583685"/>
    <w:rsid w:val="005A5300"/>
    <w:rsid w:val="005B6313"/>
    <w:rsid w:val="005B684C"/>
    <w:rsid w:val="005C6857"/>
    <w:rsid w:val="005F67F3"/>
    <w:rsid w:val="006911FE"/>
    <w:rsid w:val="00692553"/>
    <w:rsid w:val="006D01B8"/>
    <w:rsid w:val="006F7445"/>
    <w:rsid w:val="00705EBF"/>
    <w:rsid w:val="007410DE"/>
    <w:rsid w:val="007511FA"/>
    <w:rsid w:val="007554A1"/>
    <w:rsid w:val="00767651"/>
    <w:rsid w:val="007A50DA"/>
    <w:rsid w:val="007C174F"/>
    <w:rsid w:val="00803B50"/>
    <w:rsid w:val="0085168B"/>
    <w:rsid w:val="008523F4"/>
    <w:rsid w:val="0086058B"/>
    <w:rsid w:val="00862244"/>
    <w:rsid w:val="008655EC"/>
    <w:rsid w:val="008979D8"/>
    <w:rsid w:val="008A1C3E"/>
    <w:rsid w:val="008C0306"/>
    <w:rsid w:val="008F49C0"/>
    <w:rsid w:val="009032F4"/>
    <w:rsid w:val="00904FCA"/>
    <w:rsid w:val="00933904"/>
    <w:rsid w:val="00962CA2"/>
    <w:rsid w:val="00966655"/>
    <w:rsid w:val="00981A1F"/>
    <w:rsid w:val="00987202"/>
    <w:rsid w:val="00992397"/>
    <w:rsid w:val="009A4305"/>
    <w:rsid w:val="009E3C21"/>
    <w:rsid w:val="009E5649"/>
    <w:rsid w:val="009F19A8"/>
    <w:rsid w:val="00A42FE8"/>
    <w:rsid w:val="00A76EBB"/>
    <w:rsid w:val="00AE3851"/>
    <w:rsid w:val="00B34017"/>
    <w:rsid w:val="00B71AD6"/>
    <w:rsid w:val="00B7636C"/>
    <w:rsid w:val="00B84015"/>
    <w:rsid w:val="00BB5323"/>
    <w:rsid w:val="00BC294A"/>
    <w:rsid w:val="00BE2BB0"/>
    <w:rsid w:val="00C166AB"/>
    <w:rsid w:val="00C553FF"/>
    <w:rsid w:val="00C86DBB"/>
    <w:rsid w:val="00CB3760"/>
    <w:rsid w:val="00CE0F6B"/>
    <w:rsid w:val="00CE45ED"/>
    <w:rsid w:val="00CE6342"/>
    <w:rsid w:val="00CF1705"/>
    <w:rsid w:val="00D41B4D"/>
    <w:rsid w:val="00D621F4"/>
    <w:rsid w:val="00DB4881"/>
    <w:rsid w:val="00E43BAB"/>
    <w:rsid w:val="00E4591C"/>
    <w:rsid w:val="00E60E43"/>
    <w:rsid w:val="00E64285"/>
    <w:rsid w:val="00E71DBA"/>
    <w:rsid w:val="00E86E5D"/>
    <w:rsid w:val="00EA2581"/>
    <w:rsid w:val="00EE0CC4"/>
    <w:rsid w:val="00EF7296"/>
    <w:rsid w:val="00F07FB8"/>
    <w:rsid w:val="00F71917"/>
    <w:rsid w:val="00FB2130"/>
    <w:rsid w:val="00FC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ListParagraph">
    <w:name w:val="List Paragraph"/>
    <w:basedOn w:val="Normal"/>
    <w:uiPriority w:val="34"/>
    <w:qFormat/>
    <w:rsid w:val="00F71917"/>
    <w:pPr>
      <w:spacing w:after="200" w:line="276" w:lineRule="auto"/>
      <w:ind w:left="720"/>
      <w:contextualSpacing/>
    </w:pPr>
    <w:rPr>
      <w:rFonts w:ascii="Calibri" w:eastAsia="Calibri" w:hAnsi="Calibri"/>
      <w:spacing w:val="0"/>
      <w:sz w:val="22"/>
      <w:szCs w:val="22"/>
    </w:rPr>
  </w:style>
  <w:style w:type="paragraph" w:styleId="BalloonText">
    <w:name w:val="Balloon Text"/>
    <w:basedOn w:val="Normal"/>
    <w:semiHidden/>
    <w:rsid w:val="00CB3760"/>
    <w:rPr>
      <w:rFonts w:cs="Tahoma"/>
      <w:szCs w:val="16"/>
    </w:rPr>
  </w:style>
  <w:style w:type="character" w:styleId="Hyperlink">
    <w:name w:val="Hyperlink"/>
    <w:basedOn w:val="DefaultParagraphFont"/>
    <w:uiPriority w:val="99"/>
    <w:unhideWhenUsed/>
    <w:rsid w:val="008605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ListParagraph">
    <w:name w:val="List Paragraph"/>
    <w:basedOn w:val="Normal"/>
    <w:uiPriority w:val="34"/>
    <w:qFormat/>
    <w:rsid w:val="00F71917"/>
    <w:pPr>
      <w:spacing w:after="200" w:line="276" w:lineRule="auto"/>
      <w:ind w:left="720"/>
      <w:contextualSpacing/>
    </w:pPr>
    <w:rPr>
      <w:rFonts w:ascii="Calibri" w:eastAsia="Calibri" w:hAnsi="Calibri"/>
      <w:spacing w:val="0"/>
      <w:sz w:val="22"/>
      <w:szCs w:val="22"/>
    </w:rPr>
  </w:style>
  <w:style w:type="paragraph" w:styleId="BalloonText">
    <w:name w:val="Balloon Text"/>
    <w:basedOn w:val="Normal"/>
    <w:semiHidden/>
    <w:rsid w:val="00CB3760"/>
    <w:rPr>
      <w:rFonts w:cs="Tahoma"/>
      <w:szCs w:val="16"/>
    </w:rPr>
  </w:style>
  <w:style w:type="character" w:styleId="Hyperlink">
    <w:name w:val="Hyperlink"/>
    <w:basedOn w:val="DefaultParagraphFont"/>
    <w:uiPriority w:val="99"/>
    <w:unhideWhenUsed/>
    <w:rsid w:val="008605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el\filestorage\jeff.yost\My%20Documents\Downloads\TS00101841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F361-B426-40F3-BA35-C46D1F30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TS001018411 (1).dot</Template>
  <TotalTime>158</TotalTime>
  <Pages>3</Pages>
  <Words>922</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Yost, Jeff</dc:creator>
  <cp:keywords/>
  <dc:description/>
  <cp:lastModifiedBy>Yost, Jeff</cp:lastModifiedBy>
  <cp:revision>21</cp:revision>
  <cp:lastPrinted>2004-01-21T17:22:00Z</cp:lastPrinted>
  <dcterms:created xsi:type="dcterms:W3CDTF">2012-07-11T00:25:00Z</dcterms:created>
  <dcterms:modified xsi:type="dcterms:W3CDTF">2012-11-12T13:19:00Z</dcterms:modified>
  <cp:category/>
</cp:coreProperties>
</file>